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b w:val="1"/>
          <w:color w:val="222222"/>
          <w:sz w:val="30"/>
          <w:szCs w:val="30"/>
        </w:rPr>
      </w:pPr>
      <w:r w:rsidDel="00000000" w:rsidR="00000000" w:rsidRPr="00000000">
        <w:rPr>
          <w:b w:val="1"/>
          <w:color w:val="222222"/>
          <w:sz w:val="30"/>
          <w:szCs w:val="30"/>
          <w:rtl w:val="0"/>
        </w:rPr>
        <w:t xml:space="preserve">Grupo Volkswagen vende los primeros 9 meses del año un 45% más de vehículos eléctricos, con 531.500 unidades</w:t>
      </w:r>
    </w:p>
    <w:p w:rsidR="00000000" w:rsidDel="00000000" w:rsidP="00000000" w:rsidRDefault="00000000" w:rsidRPr="00000000" w14:paraId="00000002">
      <w:pPr>
        <w:shd w:fill="ffffff" w:val="clear"/>
        <w:spacing w:line="240" w:lineRule="auto"/>
        <w:jc w:val="both"/>
        <w:rPr>
          <w:color w:val="222222"/>
          <w:sz w:val="21"/>
          <w:szCs w:val="21"/>
        </w:rPr>
      </w:pPr>
      <w:r w:rsidDel="00000000" w:rsidR="00000000" w:rsidRPr="00000000">
        <w:rPr>
          <w:b w:val="1"/>
          <w:i w:val="1"/>
          <w:color w:val="222222"/>
          <w:sz w:val="21"/>
          <w:szCs w:val="21"/>
          <w:rtl w:val="0"/>
        </w:rPr>
        <w:t xml:space="preserve"> </w:t>
      </w: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color w:val="222222"/>
        </w:rPr>
      </w:pPr>
      <w:r w:rsidDel="00000000" w:rsidR="00000000" w:rsidRPr="00000000">
        <w:rPr>
          <w:color w:val="222222"/>
          <w:rtl w:val="0"/>
        </w:rPr>
        <w:t xml:space="preserve">Las entregas totales aumentaron el 7,9% alcanzando el 9,0% en el tercer trimestre del año. </w:t>
      </w:r>
    </w:p>
    <w:p w:rsidR="00000000" w:rsidDel="00000000" w:rsidP="00000000" w:rsidRDefault="00000000" w:rsidRPr="00000000" w14:paraId="00000004">
      <w:pPr>
        <w:spacing w:line="240" w:lineRule="auto"/>
        <w:ind w:left="720" w:firstLine="0"/>
        <w:jc w:val="both"/>
        <w:rPr>
          <w:color w:val="222222"/>
          <w:sz w:val="21"/>
          <w:szCs w:val="21"/>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color w:val="222222"/>
        </w:rPr>
      </w:pPr>
      <w:r w:rsidDel="00000000" w:rsidR="00000000" w:rsidRPr="00000000">
        <w:rPr>
          <w:color w:val="222222"/>
          <w:rtl w:val="0"/>
        </w:rPr>
        <w:t xml:space="preserve">Europa continúa como punto  clave de la estrategia de electrificación del Grupo Volkswagen con un aumento del 61%.</w:t>
      </w:r>
    </w:p>
    <w:p w:rsidR="00000000" w:rsidDel="00000000" w:rsidP="00000000" w:rsidRDefault="00000000" w:rsidRPr="00000000" w14:paraId="00000006">
      <w:pPr>
        <w:spacing w:line="240" w:lineRule="auto"/>
        <w:jc w:val="both"/>
        <w:rPr>
          <w:b w:val="1"/>
          <w:color w:val="222222"/>
          <w:sz w:val="21"/>
          <w:szCs w:val="21"/>
        </w:rPr>
      </w:pPr>
      <w:r w:rsidDel="00000000" w:rsidR="00000000" w:rsidRPr="00000000">
        <w:rPr>
          <w:rtl w:val="0"/>
        </w:rPr>
      </w:r>
    </w:p>
    <w:p w:rsidR="00000000" w:rsidDel="00000000" w:rsidP="00000000" w:rsidRDefault="00000000" w:rsidRPr="00000000" w14:paraId="00000007">
      <w:pPr>
        <w:spacing w:line="240" w:lineRule="auto"/>
        <w:jc w:val="both"/>
        <w:rPr>
          <w:color w:val="222222"/>
          <w:sz w:val="21"/>
          <w:szCs w:val="21"/>
        </w:rPr>
      </w:pPr>
      <w:r w:rsidDel="00000000" w:rsidR="00000000" w:rsidRPr="00000000">
        <w:rPr>
          <w:b w:val="1"/>
          <w:color w:val="222222"/>
          <w:sz w:val="21"/>
          <w:szCs w:val="21"/>
          <w:rtl w:val="0"/>
        </w:rPr>
        <w:t xml:space="preserve">Puebla, Pue. 24 de octubre de 2023. –</w:t>
      </w:r>
      <w:r w:rsidDel="00000000" w:rsidR="00000000" w:rsidRPr="00000000">
        <w:rPr>
          <w:color w:val="222222"/>
          <w:sz w:val="21"/>
          <w:szCs w:val="21"/>
          <w:rtl w:val="0"/>
        </w:rPr>
        <w:t xml:space="preserve"> Grupo Volkswagen continúa sistemáticamente su transformación en los primeros nueve meses de 2023. Las entregas de vehículos eléctricos (BEV) aumentaron un 45% hasta alcanzar los 531.500 unidades en todo el mundo, lo que elevó la cuota de BEV del total de entregas al 7, 9% tras el 6,1% del período del año anterior con 366.600 unidades. Sólo en el tercer trimestre, la cuota de BEV aumentó hasta el 9,0%, frente al 6,8% de hace un año. </w:t>
      </w:r>
    </w:p>
    <w:p w:rsidR="00000000" w:rsidDel="00000000" w:rsidP="00000000" w:rsidRDefault="00000000" w:rsidRPr="00000000" w14:paraId="00000008">
      <w:pPr>
        <w:spacing w:line="240" w:lineRule="auto"/>
        <w:jc w:val="both"/>
        <w:rPr>
          <w:color w:val="222222"/>
          <w:sz w:val="21"/>
          <w:szCs w:val="21"/>
        </w:rPr>
      </w:pPr>
      <w:r w:rsidDel="00000000" w:rsidR="00000000" w:rsidRPr="00000000">
        <w:rPr>
          <w:rtl w:val="0"/>
        </w:rPr>
      </w:r>
    </w:p>
    <w:p w:rsidR="00000000" w:rsidDel="00000000" w:rsidP="00000000" w:rsidRDefault="00000000" w:rsidRPr="00000000" w14:paraId="00000009">
      <w:pPr>
        <w:spacing w:line="240" w:lineRule="auto"/>
        <w:jc w:val="both"/>
        <w:rPr>
          <w:color w:val="222222"/>
          <w:sz w:val="21"/>
          <w:szCs w:val="21"/>
        </w:rPr>
      </w:pPr>
      <w:r w:rsidDel="00000000" w:rsidR="00000000" w:rsidRPr="00000000">
        <w:rPr>
          <w:color w:val="222222"/>
          <w:sz w:val="21"/>
          <w:szCs w:val="21"/>
          <w:rtl w:val="0"/>
        </w:rPr>
        <w:t xml:space="preserve">"</w:t>
      </w:r>
      <w:r w:rsidDel="00000000" w:rsidR="00000000" w:rsidRPr="00000000">
        <w:rPr>
          <w:i w:val="1"/>
          <w:color w:val="222222"/>
          <w:sz w:val="21"/>
          <w:szCs w:val="21"/>
          <w:rtl w:val="0"/>
        </w:rPr>
        <w:t xml:space="preserve">Hemos registrado unos buenos resultados globales en nuestras entregas de vehículos eléctricos, con un aumento global del 45% en los nueve primeros meses. A pesar de la actual reticencia general del mercado europeo a comprar vehículos impulsados por baterías, ganamos cuota de mercado y seguimos siendo líderes en este segmento. Sin embargo, nuestra entrada de pedidos está por debajo de nuestros ambiciosos objetivos debido a la tendencia general del mercado, más baja de lo esperado</w:t>
      </w:r>
      <w:r w:rsidDel="00000000" w:rsidR="00000000" w:rsidRPr="00000000">
        <w:rPr>
          <w:color w:val="222222"/>
          <w:sz w:val="21"/>
          <w:szCs w:val="21"/>
          <w:rtl w:val="0"/>
        </w:rPr>
        <w:t xml:space="preserve">”, compartió </w:t>
      </w:r>
      <w:r w:rsidDel="00000000" w:rsidR="00000000" w:rsidRPr="00000000">
        <w:rPr>
          <w:b w:val="1"/>
          <w:color w:val="222222"/>
          <w:sz w:val="21"/>
          <w:szCs w:val="21"/>
          <w:rtl w:val="0"/>
        </w:rPr>
        <w:t xml:space="preserve">Hildegard Wortmann</w:t>
      </w:r>
      <w:r w:rsidDel="00000000" w:rsidR="00000000" w:rsidRPr="00000000">
        <w:rPr>
          <w:color w:val="222222"/>
          <w:sz w:val="21"/>
          <w:szCs w:val="21"/>
          <w:rtl w:val="0"/>
        </w:rPr>
        <w:t xml:space="preserve">, </w:t>
      </w:r>
      <w:r w:rsidDel="00000000" w:rsidR="00000000" w:rsidRPr="00000000">
        <w:rPr>
          <w:b w:val="1"/>
          <w:color w:val="222222"/>
          <w:sz w:val="21"/>
          <w:szCs w:val="21"/>
          <w:rtl w:val="0"/>
        </w:rPr>
        <w:t xml:space="preserve">miembro del Consejo Ejecutivo Ampliado de Ventas de Grupo Volkswagen</w:t>
      </w:r>
      <w:r w:rsidDel="00000000" w:rsidR="00000000" w:rsidRPr="00000000">
        <w:rPr>
          <w:color w:val="222222"/>
          <w:sz w:val="21"/>
          <w:szCs w:val="21"/>
          <w:rtl w:val="0"/>
        </w:rPr>
        <w:t xml:space="preserve">. </w:t>
      </w:r>
    </w:p>
    <w:p w:rsidR="00000000" w:rsidDel="00000000" w:rsidP="00000000" w:rsidRDefault="00000000" w:rsidRPr="00000000" w14:paraId="0000000A">
      <w:pPr>
        <w:spacing w:line="240" w:lineRule="auto"/>
        <w:jc w:val="both"/>
        <w:rPr>
          <w:color w:val="222222"/>
          <w:sz w:val="21"/>
          <w:szCs w:val="21"/>
        </w:rPr>
      </w:pPr>
      <w:r w:rsidDel="00000000" w:rsidR="00000000" w:rsidRPr="00000000">
        <w:rPr>
          <w:rtl w:val="0"/>
        </w:rPr>
      </w:r>
    </w:p>
    <w:p w:rsidR="00000000" w:rsidDel="00000000" w:rsidP="00000000" w:rsidRDefault="00000000" w:rsidRPr="00000000" w14:paraId="0000000B">
      <w:pPr>
        <w:spacing w:line="240" w:lineRule="auto"/>
        <w:jc w:val="both"/>
        <w:rPr>
          <w:color w:val="222222"/>
          <w:sz w:val="21"/>
          <w:szCs w:val="21"/>
        </w:rPr>
      </w:pPr>
      <w:r w:rsidDel="00000000" w:rsidR="00000000" w:rsidRPr="00000000">
        <w:rPr>
          <w:color w:val="222222"/>
          <w:sz w:val="21"/>
          <w:szCs w:val="21"/>
          <w:rtl w:val="0"/>
        </w:rPr>
        <w:t xml:space="preserve">Europa siguió siendo el motor clave de la estrategia de electrificación del Grupo Volkswagen con un aumento del 61% hasta 341.100 BEV (enero-septiembre de 2022: 211.900). Por su parte, las entregas de BEV aumentaron un 74% hasta 50.300 unidades en EE.UU., superando las 28.900 unidades del 2022. En cuanto a China, se rebasaron los niveles del año anterior con un incremento del 4% con 117.100 unidades frente a las 112.700 de 2022. </w:t>
      </w:r>
    </w:p>
    <w:p w:rsidR="00000000" w:rsidDel="00000000" w:rsidP="00000000" w:rsidRDefault="00000000" w:rsidRPr="00000000" w14:paraId="0000000C">
      <w:pPr>
        <w:spacing w:line="240" w:lineRule="auto"/>
        <w:jc w:val="both"/>
        <w:rPr>
          <w:color w:val="222222"/>
          <w:sz w:val="21"/>
          <w:szCs w:val="21"/>
        </w:rPr>
      </w:pPr>
      <w:r w:rsidDel="00000000" w:rsidR="00000000" w:rsidRPr="00000000">
        <w:rPr>
          <w:rtl w:val="0"/>
        </w:rPr>
      </w:r>
    </w:p>
    <w:p w:rsidR="00000000" w:rsidDel="00000000" w:rsidP="00000000" w:rsidRDefault="00000000" w:rsidRPr="00000000" w14:paraId="0000000D">
      <w:pPr>
        <w:spacing w:line="240" w:lineRule="auto"/>
        <w:jc w:val="both"/>
        <w:rPr>
          <w:color w:val="222222"/>
          <w:sz w:val="21"/>
          <w:szCs w:val="21"/>
        </w:rPr>
      </w:pPr>
      <w:r w:rsidDel="00000000" w:rsidR="00000000" w:rsidRPr="00000000">
        <w:rPr>
          <w:color w:val="222222"/>
          <w:sz w:val="21"/>
          <w:szCs w:val="21"/>
          <w:rtl w:val="0"/>
        </w:rPr>
        <w:t xml:space="preserve">El 64% de las entregas de BEV del Grupo fueron a su región de origen, Europa, seguida de China, con un 22%, y EE.UU., con un 10%. El 4% se destinó a otros mercados. </w:t>
      </w:r>
    </w:p>
    <w:p w:rsidR="00000000" w:rsidDel="00000000" w:rsidP="00000000" w:rsidRDefault="00000000" w:rsidRPr="00000000" w14:paraId="0000000E">
      <w:pPr>
        <w:spacing w:line="240" w:lineRule="auto"/>
        <w:jc w:val="both"/>
        <w:rPr>
          <w:color w:val="222222"/>
          <w:sz w:val="21"/>
          <w:szCs w:val="21"/>
        </w:rPr>
      </w:pPr>
      <w:r w:rsidDel="00000000" w:rsidR="00000000" w:rsidRPr="00000000">
        <w:rPr>
          <w:rtl w:val="0"/>
        </w:rPr>
      </w:r>
    </w:p>
    <w:p w:rsidR="00000000" w:rsidDel="00000000" w:rsidP="00000000" w:rsidRDefault="00000000" w:rsidRPr="00000000" w14:paraId="0000000F">
      <w:pPr>
        <w:spacing w:line="240" w:lineRule="auto"/>
        <w:jc w:val="both"/>
        <w:rPr>
          <w:color w:val="222222"/>
          <w:sz w:val="21"/>
          <w:szCs w:val="21"/>
        </w:rPr>
      </w:pPr>
      <w:r w:rsidDel="00000000" w:rsidR="00000000" w:rsidRPr="00000000">
        <w:rPr>
          <w:color w:val="222222"/>
          <w:sz w:val="21"/>
          <w:szCs w:val="21"/>
          <w:rtl w:val="0"/>
        </w:rPr>
        <w:t xml:space="preserve">La marca Volkswagen vehículos para pasajeros entregó 273.000 vehículos eléctricos a finales de septiembre, algo más de la mitad de todos los BEV del Grupo. Le siguieron Audi con 123.000 vehículos (cuota de grupo del 23%), ŠKODA con 54.400 vehículos (cuota de grupo del 10%), SEAT/CUPRA con 32.300 vehículos (cuota de grupo del 6%), Porsche con 27.900 vehículos (cuota de grupo del 5%) y Volkswagen Vehículos Comerciales con 19.600 vehículos (cuota de grupo del 4%).</w:t>
      </w:r>
    </w:p>
    <w:p w:rsidR="00000000" w:rsidDel="00000000" w:rsidP="00000000" w:rsidRDefault="00000000" w:rsidRPr="00000000" w14:paraId="00000010">
      <w:pPr>
        <w:spacing w:line="240" w:lineRule="auto"/>
        <w:jc w:val="both"/>
        <w:rPr>
          <w:color w:val="222222"/>
          <w:sz w:val="21"/>
          <w:szCs w:val="21"/>
        </w:rPr>
      </w:pPr>
      <w:r w:rsidDel="00000000" w:rsidR="00000000" w:rsidRPr="00000000">
        <w:rPr>
          <w:rtl w:val="0"/>
        </w:rPr>
      </w:r>
    </w:p>
    <w:p w:rsidR="00000000" w:rsidDel="00000000" w:rsidP="00000000" w:rsidRDefault="00000000" w:rsidRPr="00000000" w14:paraId="00000011">
      <w:pPr>
        <w:spacing w:line="240" w:lineRule="auto"/>
        <w:jc w:val="both"/>
        <w:rPr>
          <w:b w:val="1"/>
          <w:color w:val="222222"/>
          <w:sz w:val="21"/>
          <w:szCs w:val="21"/>
        </w:rPr>
      </w:pPr>
      <w:r w:rsidDel="00000000" w:rsidR="00000000" w:rsidRPr="00000000">
        <w:rPr>
          <w:b w:val="1"/>
          <w:color w:val="222222"/>
          <w:sz w:val="21"/>
          <w:szCs w:val="21"/>
          <w:rtl w:val="0"/>
        </w:rPr>
        <w:t xml:space="preserve">Los modelos BEV de mayor éxito en los nueve primeros meses de 2023 fueron:</w:t>
      </w:r>
    </w:p>
    <w:p w:rsidR="00000000" w:rsidDel="00000000" w:rsidP="00000000" w:rsidRDefault="00000000" w:rsidRPr="00000000" w14:paraId="00000012">
      <w:pPr>
        <w:spacing w:line="240" w:lineRule="auto"/>
        <w:jc w:val="both"/>
        <w:rPr>
          <w:color w:val="222222"/>
          <w:sz w:val="21"/>
          <w:szCs w:val="21"/>
        </w:rPr>
      </w:pPr>
      <w:r w:rsidDel="00000000" w:rsidR="00000000" w:rsidRPr="00000000">
        <w:rPr>
          <w:rtl w:val="0"/>
        </w:rPr>
      </w:r>
    </w:p>
    <w:p w:rsidR="00000000" w:rsidDel="00000000" w:rsidP="00000000" w:rsidRDefault="00000000" w:rsidRPr="00000000" w14:paraId="00000013">
      <w:pPr>
        <w:spacing w:line="240" w:lineRule="auto"/>
        <w:jc w:val="both"/>
        <w:rPr>
          <w:color w:val="222222"/>
          <w:sz w:val="21"/>
          <w:szCs w:val="21"/>
        </w:rPr>
      </w:pPr>
      <w:r w:rsidDel="00000000" w:rsidR="00000000" w:rsidRPr="00000000">
        <w:rPr>
          <w:color w:val="222222"/>
          <w:sz w:val="21"/>
          <w:szCs w:val="21"/>
          <w:rtl w:val="0"/>
        </w:rPr>
        <w:t xml:space="preserve">Volkswagen ID.4/ID.5 162,100</w:t>
      </w:r>
    </w:p>
    <w:p w:rsidR="00000000" w:rsidDel="00000000" w:rsidP="00000000" w:rsidRDefault="00000000" w:rsidRPr="00000000" w14:paraId="00000014">
      <w:pPr>
        <w:spacing w:line="240" w:lineRule="auto"/>
        <w:jc w:val="both"/>
        <w:rPr>
          <w:color w:val="222222"/>
          <w:sz w:val="21"/>
          <w:szCs w:val="21"/>
        </w:rPr>
      </w:pPr>
      <w:r w:rsidDel="00000000" w:rsidR="00000000" w:rsidRPr="00000000">
        <w:rPr>
          <w:color w:val="222222"/>
          <w:sz w:val="21"/>
          <w:szCs w:val="21"/>
          <w:rtl w:val="0"/>
        </w:rPr>
        <w:t xml:space="preserve">Volkswagen ID.301 90,500</w:t>
      </w:r>
    </w:p>
    <w:p w:rsidR="00000000" w:rsidDel="00000000" w:rsidP="00000000" w:rsidRDefault="00000000" w:rsidRPr="00000000" w14:paraId="00000015">
      <w:pPr>
        <w:spacing w:line="240" w:lineRule="auto"/>
        <w:jc w:val="both"/>
        <w:rPr>
          <w:color w:val="222222"/>
          <w:sz w:val="21"/>
          <w:szCs w:val="21"/>
        </w:rPr>
      </w:pPr>
      <w:r w:rsidDel="00000000" w:rsidR="00000000" w:rsidRPr="00000000">
        <w:rPr>
          <w:color w:val="222222"/>
          <w:sz w:val="21"/>
          <w:szCs w:val="21"/>
          <w:rtl w:val="0"/>
        </w:rPr>
        <w:t xml:space="preserve">Audi Q4 e-tron (incl. Sportback) 77,900</w:t>
      </w:r>
    </w:p>
    <w:p w:rsidR="00000000" w:rsidDel="00000000" w:rsidP="00000000" w:rsidRDefault="00000000" w:rsidRPr="00000000" w14:paraId="00000016">
      <w:pPr>
        <w:spacing w:line="240" w:lineRule="auto"/>
        <w:jc w:val="both"/>
        <w:rPr>
          <w:color w:val="222222"/>
          <w:sz w:val="21"/>
          <w:szCs w:val="21"/>
        </w:rPr>
      </w:pPr>
      <w:r w:rsidDel="00000000" w:rsidR="00000000" w:rsidRPr="00000000">
        <w:rPr>
          <w:color w:val="222222"/>
          <w:sz w:val="21"/>
          <w:szCs w:val="21"/>
          <w:rtl w:val="0"/>
        </w:rPr>
        <w:t xml:space="preserve">ŠKODA Enyaq iV (incl. Coupé) 54,400</w:t>
      </w:r>
    </w:p>
    <w:p w:rsidR="00000000" w:rsidDel="00000000" w:rsidP="00000000" w:rsidRDefault="00000000" w:rsidRPr="00000000" w14:paraId="00000017">
      <w:pPr>
        <w:spacing w:line="240" w:lineRule="auto"/>
        <w:jc w:val="both"/>
        <w:rPr>
          <w:color w:val="222222"/>
          <w:sz w:val="21"/>
          <w:szCs w:val="21"/>
        </w:rPr>
      </w:pPr>
      <w:r w:rsidDel="00000000" w:rsidR="00000000" w:rsidRPr="00000000">
        <w:rPr>
          <w:color w:val="222222"/>
          <w:sz w:val="21"/>
          <w:szCs w:val="21"/>
          <w:rtl w:val="0"/>
        </w:rPr>
        <w:t xml:space="preserve">CUPRA Born 32,300</w:t>
      </w:r>
    </w:p>
    <w:p w:rsidR="00000000" w:rsidDel="00000000" w:rsidP="00000000" w:rsidRDefault="00000000" w:rsidRPr="00000000" w14:paraId="00000018">
      <w:pPr>
        <w:spacing w:line="240" w:lineRule="auto"/>
        <w:jc w:val="both"/>
        <w:rPr>
          <w:color w:val="222222"/>
          <w:sz w:val="21"/>
          <w:szCs w:val="21"/>
        </w:rPr>
      </w:pPr>
      <w:r w:rsidDel="00000000" w:rsidR="00000000" w:rsidRPr="00000000">
        <w:rPr>
          <w:color w:val="222222"/>
          <w:sz w:val="21"/>
          <w:szCs w:val="21"/>
          <w:rtl w:val="0"/>
        </w:rPr>
        <w:t xml:space="preserve">Audi Q8 e-tron (incl. Sportback) 21,800</w:t>
      </w:r>
    </w:p>
    <w:p w:rsidR="00000000" w:rsidDel="00000000" w:rsidP="00000000" w:rsidRDefault="00000000" w:rsidRPr="00000000" w14:paraId="00000019">
      <w:pPr>
        <w:spacing w:line="240" w:lineRule="auto"/>
        <w:jc w:val="both"/>
        <w:rPr>
          <w:color w:val="222222"/>
          <w:sz w:val="21"/>
          <w:szCs w:val="21"/>
        </w:rPr>
      </w:pPr>
      <w:r w:rsidDel="00000000" w:rsidR="00000000" w:rsidRPr="00000000">
        <w:rPr>
          <w:rtl w:val="0"/>
        </w:rPr>
      </w:r>
    </w:p>
    <w:p w:rsidR="00000000" w:rsidDel="00000000" w:rsidP="00000000" w:rsidRDefault="00000000" w:rsidRPr="00000000" w14:paraId="0000001A">
      <w:pPr>
        <w:spacing w:line="240" w:lineRule="auto"/>
        <w:jc w:val="center"/>
        <w:rPr>
          <w:b w:val="1"/>
          <w:color w:val="222222"/>
          <w:sz w:val="16"/>
          <w:szCs w:val="16"/>
        </w:rPr>
      </w:pPr>
      <w:r w:rsidDel="00000000" w:rsidR="00000000" w:rsidRPr="00000000">
        <w:rPr>
          <w:color w:val="222222"/>
          <w:sz w:val="24"/>
          <w:szCs w:val="24"/>
          <w:highlight w:val="white"/>
          <w:rtl w:val="0"/>
        </w:rPr>
        <w:t xml:space="preserve">-o0o-</w:t>
      </w:r>
      <w:r w:rsidDel="00000000" w:rsidR="00000000" w:rsidRPr="00000000">
        <w:rPr>
          <w:rtl w:val="0"/>
        </w:rPr>
      </w:r>
    </w:p>
    <w:p w:rsidR="00000000" w:rsidDel="00000000" w:rsidP="00000000" w:rsidRDefault="00000000" w:rsidRPr="00000000" w14:paraId="0000001B">
      <w:pPr>
        <w:shd w:fill="ffffff" w:val="clear"/>
        <w:spacing w:after="280" w:before="280" w:line="240" w:lineRule="auto"/>
        <w:jc w:val="both"/>
        <w:rPr>
          <w:b w:val="1"/>
          <w:color w:val="222222"/>
          <w:sz w:val="16"/>
          <w:szCs w:val="16"/>
        </w:rPr>
      </w:pPr>
      <w:r w:rsidDel="00000000" w:rsidR="00000000" w:rsidRPr="00000000">
        <w:rPr>
          <w:b w:val="1"/>
          <w:color w:val="222222"/>
          <w:sz w:val="16"/>
          <w:szCs w:val="16"/>
          <w:rtl w:val="0"/>
        </w:rPr>
        <w:t xml:space="preserve">Sobre Volkswagen de México</w:t>
      </w:r>
    </w:p>
    <w:p w:rsidR="00000000" w:rsidDel="00000000" w:rsidP="00000000" w:rsidRDefault="00000000" w:rsidRPr="00000000" w14:paraId="0000001C">
      <w:pPr>
        <w:shd w:fill="ffffff" w:val="clear"/>
        <w:spacing w:after="280" w:before="280" w:line="240" w:lineRule="auto"/>
        <w:jc w:val="both"/>
        <w:rPr>
          <w:color w:val="222222"/>
          <w:sz w:val="16"/>
          <w:szCs w:val="16"/>
        </w:rPr>
      </w:pPr>
      <w:r w:rsidDel="00000000" w:rsidR="00000000" w:rsidRPr="00000000">
        <w:rPr>
          <w:color w:val="222222"/>
          <w:sz w:val="16"/>
          <w:szCs w:val="16"/>
          <w:rtl w:val="0"/>
        </w:rPr>
        <w:t xml:space="preserve">Las oficinas corporativas de Volkswagen de México, así como la planta de vehículos se localizan en el Estado de Puebla, a 120 km al sureste de la ciudad de México. En enero de 2013, en Silao, Guanajuato inició operaciones la Planta de Motores Guanajuato. En 2022, Volkswagen de México produjo 301,865 vehículos.</w:t>
      </w:r>
    </w:p>
    <w:p w:rsidR="00000000" w:rsidDel="00000000" w:rsidP="00000000" w:rsidRDefault="00000000" w:rsidRPr="00000000" w14:paraId="0000001D">
      <w:pPr>
        <w:shd w:fill="ffffff" w:val="clear"/>
        <w:spacing w:after="280" w:before="280" w:line="240" w:lineRule="auto"/>
        <w:jc w:val="both"/>
        <w:rPr>
          <w:color w:val="222222"/>
          <w:sz w:val="16"/>
          <w:szCs w:val="16"/>
        </w:rPr>
      </w:pPr>
      <w:r w:rsidDel="00000000" w:rsidR="00000000" w:rsidRPr="00000000">
        <w:rPr>
          <w:color w:val="222222"/>
          <w:sz w:val="16"/>
          <w:szCs w:val="16"/>
          <w:rtl w:val="0"/>
        </w:rPr>
        <w:t xml:space="preserve">Con más de 55 años de producción, la planta de vehículos de Volkswagen de México es una de las más grandes del Grupo Volkswagen. En esta factoría se producen en tres diferentes segmentos los modelos Jetta, Tiguan, versión larga y Taos. En la planta de Puebla se cuentan con todos los procesos necesarios para la fabricación de vehículos, desde el estampado hasta el ensamble final.</w:t>
      </w:r>
    </w:p>
    <w:p w:rsidR="00000000" w:rsidDel="00000000" w:rsidP="00000000" w:rsidRDefault="00000000" w:rsidRPr="00000000" w14:paraId="0000001E">
      <w:pPr>
        <w:shd w:fill="ffffff" w:val="clear"/>
        <w:spacing w:after="280" w:before="280" w:line="240" w:lineRule="auto"/>
        <w:jc w:val="both"/>
        <w:rPr>
          <w:b w:val="1"/>
          <w:color w:val="222222"/>
          <w:sz w:val="30"/>
          <w:szCs w:val="30"/>
        </w:rPr>
      </w:pPr>
      <w:bookmarkStart w:colFirst="0" w:colLast="0" w:name="_heading=h.gjdgxs" w:id="0"/>
      <w:bookmarkEnd w:id="0"/>
      <w:r w:rsidDel="00000000" w:rsidR="00000000" w:rsidRPr="00000000">
        <w:rPr>
          <w:color w:val="222222"/>
          <w:sz w:val="16"/>
          <w:szCs w:val="16"/>
          <w:rtl w:val="0"/>
        </w:rPr>
        <w:t xml:space="preserve">La Planta de Motores Guanajuato está asentada sobre una superficie de 60 hectáreas; en esta fábrica se producen el motor EA211 y la tercera generación de motores EA888 para la producción de vehículos del Grupo Volkswagen en Norteamérica. El Grupo Volkswagen comercializa en la república mexicana las marcas Volkswagen, Volkswagen Vehículos Comerciales, SEAT, CUPRA, Audi, Bentley y Porsche. En 2022, estas marcas entregaron 109,136 vehículos ligeros a sus clientes.</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leader="none" w:pos="4153"/>
        <w:tab w:val="right" w:leader="none" w:pos="8306"/>
        <w:tab w:val="center" w:leader="none" w:pos="4320"/>
        <w:tab w:val="right" w:leader="none" w:pos="8640"/>
      </w:tabs>
      <w:spacing w:line="240" w:lineRule="auto"/>
      <w:jc w:val="center"/>
      <w:rPr>
        <w:rFonts w:ascii="Helvetica Neue" w:cs="Helvetica Neue" w:eastAsia="Helvetica Neue" w:hAnsi="Helvetica Neue"/>
        <w:sz w:val="20"/>
        <w:szCs w:val="20"/>
      </w:rPr>
    </w:pPr>
    <w:r w:rsidDel="00000000" w:rsidR="00000000" w:rsidRPr="00000000">
      <w:rPr>
        <w:rFonts w:ascii="Cambria" w:cs="Cambria" w:eastAsia="Cambria" w:hAnsi="Cambria"/>
        <w:sz w:val="24"/>
        <w:szCs w:val="24"/>
        <w:rtl w:val="0"/>
      </w:rPr>
      <w:tab/>
    </w:r>
    <w:r w:rsidDel="00000000" w:rsidR="00000000" w:rsidRPr="00000000">
      <w:rPr>
        <w:rFonts w:ascii="Cambria" w:cs="Cambria" w:eastAsia="Cambria" w:hAnsi="Cambria"/>
        <w:sz w:val="24"/>
        <w:szCs w:val="24"/>
      </w:rPr>
      <w:drawing>
        <wp:inline distB="0" distT="0" distL="0" distR="0">
          <wp:extent cx="1621536" cy="36576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21536" cy="365760"/>
                  </a:xfrm>
                  <a:prstGeom prst="rect"/>
                  <a:ln/>
                </pic:spPr>
              </pic:pic>
            </a:graphicData>
          </a:graphic>
        </wp:inline>
      </w:drawing>
    </w:r>
    <w:r w:rsidDel="00000000" w:rsidR="00000000" w:rsidRPr="00000000">
      <w:rPr>
        <w:rFonts w:ascii="Cambria" w:cs="Cambria" w:eastAsia="Cambria" w:hAnsi="Cambria"/>
        <w:sz w:val="24"/>
        <w:szCs w:val="24"/>
        <w:rtl w:val="0"/>
      </w:rPr>
      <w:tab/>
    </w: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266.3671875" w:hRule="atLeast"/>
        <w:tblHeader w:val="0"/>
      </w:trPr>
      <w:tc>
        <w:tcPr>
          <w:tcBorders>
            <w:top w:color="ffffff" w:space="0" w:sz="4" w:val="single"/>
          </w:tcBorders>
          <w:vAlign w:val="top"/>
        </w:tcPr>
        <w:p w:rsidR="00000000" w:rsidDel="00000000" w:rsidP="00000000" w:rsidRDefault="00000000" w:rsidRPr="00000000" w14:paraId="00000020">
          <w:pPr>
            <w:tabs>
              <w:tab w:val="center" w:leader="none" w:pos="4419"/>
              <w:tab w:val="right" w:leader="none" w:pos="8838"/>
            </w:tabs>
            <w:spacing w:line="240" w:lineRule="auto"/>
            <w:rPr>
              <w:rFonts w:ascii="Cambria" w:cs="Cambria" w:eastAsia="Cambria" w:hAnsi="Cambria"/>
              <w:sz w:val="24"/>
              <w:szCs w:val="24"/>
            </w:rPr>
          </w:pPr>
          <w:r w:rsidDel="00000000" w:rsidR="00000000" w:rsidRPr="00000000">
            <w:rPr>
              <w:rFonts w:ascii="Calibri" w:cs="Calibri" w:eastAsia="Calibri" w:hAnsi="Calibri"/>
              <w:sz w:val="24"/>
              <w:szCs w:val="24"/>
            </w:rPr>
            <w:drawing>
              <wp:inline distB="0" distT="0" distL="0" distR="0">
                <wp:extent cx="5353050" cy="419100"/>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353050" cy="419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1">
    <w:pPr>
      <w:tabs>
        <w:tab w:val="center" w:leader="none" w:pos="4153"/>
        <w:tab w:val="right" w:leader="none" w:pos="8306"/>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Tn/SNe8GzMJsUphUeiOIpes2Q==">CgMxLjAyCGguZ2pkZ3hzOAByITFLWnVpdWpKNXE2VG1UTFdrOXlPTWJtc013Ny1LUDRwSQ==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